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5666C">
      <w:pPr>
        <w:bidi w:val="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</w:rPr>
      </w:pPr>
      <w:bookmarkStart w:id="0" w:name="_Toc51616148"/>
      <w:bookmarkStart w:id="1" w:name="_Toc104363582"/>
      <w:bookmarkStart w:id="2" w:name="_Toc18128"/>
      <w:bookmarkStart w:id="3" w:name="_Toc29546"/>
      <w:bookmarkStart w:id="4" w:name="_Toc4480"/>
      <w:bookmarkStart w:id="5" w:name="_Toc14905"/>
      <w:bookmarkStart w:id="6" w:name="_Toc25251"/>
      <w:bookmarkStart w:id="7" w:name="_Toc7706"/>
      <w:bookmarkStart w:id="8" w:name="_Toc30798"/>
      <w:bookmarkStart w:id="9" w:name="_Toc51620011"/>
      <w:bookmarkStart w:id="10" w:name="_Toc5576"/>
      <w:bookmarkStart w:id="11" w:name="_Toc27128"/>
      <w:bookmarkStart w:id="12" w:name="_Toc12"/>
      <w:bookmarkStart w:id="13" w:name="_Toc6294"/>
      <w:bookmarkStart w:id="14" w:name="_Toc2347"/>
      <w:bookmarkStart w:id="15" w:name="_Toc12671"/>
      <w:bookmarkStart w:id="16" w:name="_Toc27407"/>
      <w:bookmarkStart w:id="17" w:name="_Toc51616681"/>
      <w:bookmarkStart w:id="18" w:name="_Toc4482"/>
      <w:bookmarkStart w:id="19" w:name="_Toc38007949"/>
      <w:bookmarkStart w:id="20" w:name="_Toc447265500"/>
      <w:bookmarkStart w:id="21" w:name="_Toc447265214"/>
      <w:bookmarkStart w:id="22" w:name="_Toc447188665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国产办公打印机统筹采购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913E977">
      <w:pPr>
        <w:pStyle w:val="2"/>
        <w:rPr>
          <w:rFonts w:hint="eastAsia"/>
          <w:lang w:eastAsia="zh"/>
        </w:rPr>
      </w:pPr>
      <w:bookmarkStart w:id="93" w:name="_GoBack"/>
      <w:bookmarkEnd w:id="93"/>
    </w:p>
    <w:bookmarkEnd w:id="19"/>
    <w:bookmarkEnd w:id="20"/>
    <w:bookmarkEnd w:id="21"/>
    <w:bookmarkEnd w:id="22"/>
    <w:p w14:paraId="4F9F0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以下简称“招标人”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就</w:t>
      </w:r>
      <w:r>
        <w:rPr>
          <w:rFonts w:hint="eastAsia" w:ascii="宋体" w:hAnsi="宋体" w:eastAsia="宋体" w:cs="宋体"/>
          <w:color w:val="auto"/>
          <w:sz w:val="24"/>
          <w:szCs w:val="20"/>
          <w:highlight w:val="none"/>
        </w:rPr>
        <w:t>国产办公打印机统筹采购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项目采用公开招标形式进行采购，本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项目非依法必须招标的项目，非政府采购项目，为根据招标人内部采购管理制度进行的自主招标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资金由招标人自筹。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有意向且具有提供标的物能力的投标人参加投标。</w:t>
      </w:r>
    </w:p>
    <w:p w14:paraId="231B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23" w:name="_Toc22302"/>
      <w:bookmarkStart w:id="24" w:name="_Toc29662"/>
      <w:bookmarkStart w:id="25" w:name="_Toc8145"/>
      <w:bookmarkStart w:id="26" w:name="_Toc5633"/>
      <w:bookmarkStart w:id="27" w:name="_Toc27772"/>
      <w:bookmarkStart w:id="28" w:name="_Toc30766"/>
      <w:bookmarkStart w:id="29" w:name="_Toc29194"/>
      <w:bookmarkStart w:id="30" w:name="_Toc450"/>
      <w:bookmarkStart w:id="31" w:name="_Toc15578"/>
      <w:bookmarkStart w:id="32" w:name="_Toc18585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一、项目名称及内容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24B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1.招标人：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</w:t>
      </w:r>
    </w:p>
    <w:p w14:paraId="4507A548">
      <w:pPr>
        <w:pStyle w:val="3"/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2.项目名称：</w:t>
      </w:r>
      <w:r>
        <w:rPr>
          <w:rFonts w:hint="eastAsia" w:ascii="宋体" w:hAnsi="宋体" w:eastAsia="宋体" w:cs="宋体"/>
          <w:color w:val="auto"/>
          <w:sz w:val="24"/>
          <w:szCs w:val="20"/>
          <w:highlight w:val="none"/>
        </w:rPr>
        <w:t>国产办公打印机统筹采购</w:t>
      </w:r>
      <w:r>
        <w:rPr>
          <w:rFonts w:hint="eastAsia" w:ascii="宋体" w:hAnsi="宋体" w:cs="宋体"/>
          <w:color w:val="auto"/>
          <w:sz w:val="24"/>
          <w:szCs w:val="20"/>
          <w:highlight w:val="none"/>
          <w:lang w:val="en-US" w:eastAsia="zh-CN"/>
        </w:rPr>
        <w:t>项目</w:t>
      </w:r>
    </w:p>
    <w:p w14:paraId="2BBD3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JSRCUB2026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129</w:t>
      </w:r>
    </w:p>
    <w:p w14:paraId="7AD6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4.招标内容：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采购A3和A4幅面的黑白、彩色等5种类型打印机</w:t>
      </w:r>
    </w:p>
    <w:p w14:paraId="05399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.资金来源：自筹资金</w:t>
      </w:r>
    </w:p>
    <w:p w14:paraId="19EAD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FF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.资格审查方式：资格后审</w:t>
      </w:r>
    </w:p>
    <w:p w14:paraId="2D4E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bookmarkStart w:id="33" w:name="_Toc30455"/>
      <w:bookmarkStart w:id="34" w:name="_Toc2359"/>
      <w:bookmarkStart w:id="35" w:name="_Toc20619"/>
      <w:bookmarkStart w:id="36" w:name="_Toc31546"/>
      <w:bookmarkStart w:id="37" w:name="_Toc5608"/>
      <w:bookmarkStart w:id="38" w:name="_Toc21274"/>
      <w:bookmarkStart w:id="39" w:name="_Toc18390"/>
      <w:bookmarkStart w:id="40" w:name="_Toc23596"/>
      <w:bookmarkStart w:id="41" w:name="_Toc650"/>
      <w:bookmarkStart w:id="42" w:name="_Toc11804"/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二、投标人资格要求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E3C5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（一）一般要求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 xml:space="preserve"> </w:t>
      </w:r>
    </w:p>
    <w:p w14:paraId="70BE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1.投标人应为中华人民共和国境内（不含港、澳、台地区）注册的法人或其他组织。如为分支机构参与投标，必须取得其总公司针对本项目的唯一授权；总公司与其分支机构不能同时参与投标。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提供营业执照复印件并加盖公章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 w14:paraId="1BF8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2.存在关联关系的不同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，不得同时参与本项目。关联关系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包含以下情况：</w:t>
      </w:r>
    </w:p>
    <w:p w14:paraId="20D21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负责人为同一人的其他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16CE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（2）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存在直接控股、管理关系的其他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6DD3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应向招标人如实披露与本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存在关联关系的其他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。招标人有权取消关联关系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参与本项目的资格。</w:t>
      </w:r>
    </w:p>
    <w:p w14:paraId="7001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3.投标人应具有良好的银行资信和商业信誉，投标人不得存在下列情形之一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</w:t>
      </w:r>
    </w:p>
    <w:p w14:paraId="3A04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投标人被责令停业停产或破产状态的；</w:t>
      </w:r>
    </w:p>
    <w:p w14:paraId="5B784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（2）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投标人财产被重组、接管、查封、扣押或冻结的；</w:t>
      </w:r>
    </w:p>
    <w:p w14:paraId="06F3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（3）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投标人被列入招标人供应商管理黑名单，其响应的产品或服务在黑名单规定的品目、地域和时间等相关禁入措施范围内的；</w:t>
      </w:r>
    </w:p>
    <w:p w14:paraId="5B314AB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供应商</w:t>
      </w:r>
      <w:r>
        <w:rPr>
          <w:rFonts w:hint="default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在经营活动中有重大违法记录，被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：</w:t>
      </w:r>
    </w:p>
    <w:p w14:paraId="6665BAEE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①“信用中国”（www.creditchina.gov.cn）列入失信被执行人名单</w:t>
      </w:r>
    </w:p>
    <w:p w14:paraId="2D6869C7"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②“信用中国”（www.creditchina.gov.cn）列入企业经营异常名录</w:t>
      </w:r>
    </w:p>
    <w:p w14:paraId="74D01263"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③“信用中国”（www.creditchina.gov.cn）列入重大税收违法案件当事人名单；</w:t>
      </w:r>
    </w:p>
    <w:p w14:paraId="41C8C516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④中国政府采购网（www.ccgp.gov.cn）列入政府采购严重违法失信行为记录名单；</w:t>
      </w:r>
    </w:p>
    <w:p w14:paraId="6CBF91AC">
      <w:pPr>
        <w:pStyle w:val="8"/>
        <w:spacing w:line="400" w:lineRule="exact"/>
        <w:ind w:firstLine="480" w:firstLineChars="200"/>
        <w:rPr>
          <w:rFonts w:hint="default" w:ascii="宋体" w:hAnsi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t>⑤国家企业信用信息公示系统（www.gsxt.gov.cn）列入严重违法失信企业名单</w:t>
      </w:r>
      <w:r>
        <w:rPr>
          <w:rFonts w:hint="default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；</w:t>
      </w:r>
    </w:p>
    <w:p w14:paraId="26B5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（5）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投标人与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招标人及辖内农商行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在既往同类别合同履约过程中存在重大纠纷或问题，已进入仲裁或司法程序，未妥善解决的；</w:t>
      </w:r>
    </w:p>
    <w:p w14:paraId="7A7B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.投标人应保证其参与提供的产品和服务，不存在任何已知的不合法的情形，也不存在任何已知的与第三方专利权、著作权、商标权或工业设计权等相关的任何争议。</w:t>
      </w:r>
    </w:p>
    <w:p w14:paraId="5767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.本项目不允许分包、转包，不接受联合体投标。</w:t>
      </w:r>
    </w:p>
    <w:p w14:paraId="4534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注：资格要求第2款至第5款、须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提供承诺函并加盖公章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（承诺函格式详见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第六章）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第3款第四条同时须提供显示查询结果的网站截图并加盖公章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。</w:t>
      </w:r>
    </w:p>
    <w:p w14:paraId="789139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投标人应提供基本账户银行出具的资信证明（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自开标日前3个月内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开具）或经审计的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2025年度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的财务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（包括但不限于利润表、资产负债表、现金流</w:t>
      </w:r>
      <w:r>
        <w:rPr>
          <w:rFonts w:hint="eastAsia" w:ascii="宋体" w:hAnsi="宋体" w:eastAsia="宋体" w:cs="宋体"/>
          <w:bCs w:val="0"/>
          <w:color w:val="auto"/>
          <w:spacing w:val="2"/>
          <w:sz w:val="24"/>
          <w:highlight w:val="none"/>
        </w:rPr>
        <w:t>量表）</w:t>
      </w:r>
      <w:r>
        <w:rPr>
          <w:rFonts w:hint="eastAsia" w:ascii="宋体" w:hAnsi="宋体" w:cs="宋体"/>
          <w:bCs w:val="0"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资信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证明或财务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报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告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）</w:t>
      </w:r>
    </w:p>
    <w:p w14:paraId="08BF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（二）特别要求</w:t>
      </w:r>
    </w:p>
    <w:p w14:paraId="5757960B">
      <w:pPr>
        <w:pStyle w:val="12"/>
        <w:widowControl w:val="0"/>
        <w:numPr>
          <w:ilvl w:val="-1"/>
          <w:numId w:val="0"/>
        </w:numPr>
        <w:spacing w:line="360" w:lineRule="auto"/>
        <w:ind w:firstLine="488" w:firstLineChars="200"/>
        <w:jc w:val="left"/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</w:pPr>
      <w:bookmarkStart w:id="43" w:name="_Toc24284"/>
      <w:bookmarkStart w:id="44" w:name="_Toc16346"/>
      <w:bookmarkStart w:id="45" w:name="_Toc1489"/>
      <w:bookmarkStart w:id="46" w:name="_Toc17969"/>
      <w:bookmarkStart w:id="47" w:name="_Toc29879"/>
      <w:bookmarkStart w:id="48" w:name="_Toc8667"/>
      <w:r>
        <w:rPr>
          <w:rFonts w:hint="eastAsia" w:cs="宋体"/>
          <w:bCs/>
          <w:color w:val="auto"/>
          <w:spacing w:val="2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投标人应为所投产品原厂商或原厂商的授权代理商，原厂商与其授权的代理商不得同时参加本项目投标</w:t>
      </w:r>
      <w:r>
        <w:rPr>
          <w:rFonts w:hint="eastAsia" w:cs="宋体"/>
          <w:bCs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提供格式自拟的承诺函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</w:p>
    <w:p w14:paraId="4FD38883">
      <w:pPr>
        <w:pStyle w:val="12"/>
        <w:widowControl w:val="0"/>
        <w:spacing w:line="360" w:lineRule="auto"/>
        <w:ind w:firstLine="480" w:firstLineChars="200"/>
        <w:jc w:val="left"/>
        <w:rPr>
          <w:rFonts w:hint="eastAsia" w:cs="宋体"/>
          <w:color w:val="auto"/>
          <w:spacing w:val="2"/>
          <w:sz w:val="24"/>
          <w:szCs w:val="24"/>
          <w:highlight w:val="yellow"/>
          <w:lang w:eastAsia="zh-CN"/>
        </w:rPr>
      </w:pPr>
      <w:r>
        <w:rPr>
          <w:rFonts w:hint="eastAsia" w:cs="宋体"/>
          <w:bCs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若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为代理商，只能代理一家原厂商</w:t>
      </w:r>
      <w:r>
        <w:rPr>
          <w:rFonts w:hint="default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</w:rPr>
        <w:t>须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lang w:val="en-US" w:eastAsia="zh-CN"/>
        </w:rPr>
        <w:t>承诺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  <w:lang w:eastAsia="zh"/>
        </w:rPr>
        <w:t>可取得原厂商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  <w:lang w:eastAsia="zh"/>
        </w:rPr>
        <w:t>授权函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</w:rPr>
        <w:t>。（提供</w:t>
      </w:r>
      <w:r>
        <w:rPr>
          <w:rFonts w:hint="eastAsia" w:cs="宋体"/>
          <w:color w:val="auto"/>
          <w:spacing w:val="2"/>
          <w:sz w:val="24"/>
          <w:szCs w:val="24"/>
          <w:highlight w:val="none"/>
          <w:lang w:val="en-US" w:eastAsia="zh-CN"/>
        </w:rPr>
        <w:t>原厂授权函</w:t>
      </w:r>
      <w:r>
        <w:rPr>
          <w:rFonts w:hint="default" w:ascii="宋体" w:hAnsi="宋体" w:cs="宋体"/>
          <w:color w:val="auto"/>
          <w:spacing w:val="2"/>
          <w:sz w:val="24"/>
          <w:szCs w:val="24"/>
          <w:highlight w:val="none"/>
        </w:rPr>
        <w:t>并加盖公章）</w:t>
      </w:r>
    </w:p>
    <w:p w14:paraId="2DF2E017">
      <w:pPr>
        <w:pStyle w:val="12"/>
        <w:widowControl w:val="0"/>
        <w:spacing w:line="360" w:lineRule="auto"/>
        <w:ind w:firstLine="488" w:firstLineChars="200"/>
        <w:jc w:val="left"/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pacing w:val="2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应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自2023年1月1日以来至少2个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办公电子设备销售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合同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案例。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注：①以合同签订时间为准；②</w:t>
      </w:r>
      <w:r>
        <w:rPr>
          <w:rFonts w:hint="eastAsia" w:ascii="宋体" w:hAnsi="宋体" w:cs="宋体"/>
          <w:bCs/>
          <w:spacing w:val="2"/>
          <w:sz w:val="24"/>
          <w:highlight w:val="none"/>
          <w:lang w:val="en-US" w:eastAsia="zh-CN"/>
        </w:rPr>
        <w:t>合同中需</w:t>
      </w:r>
      <w:r>
        <w:rPr>
          <w:rFonts w:hint="eastAsia" w:ascii="宋体" w:hAnsi="宋体" w:eastAsia="宋体" w:cs="宋体"/>
          <w:bCs/>
          <w:spacing w:val="2"/>
          <w:sz w:val="24"/>
          <w:highlight w:val="none"/>
          <w:lang w:val="en-US" w:eastAsia="zh-CN"/>
        </w:rPr>
        <w:t>包含“</w:t>
      </w:r>
      <w:r>
        <w:rPr>
          <w:rFonts w:hint="eastAsia" w:ascii="宋体" w:hAnsi="宋体" w:cs="宋体"/>
          <w:bCs/>
          <w:spacing w:val="2"/>
          <w:sz w:val="24"/>
          <w:highlight w:val="none"/>
          <w:lang w:val="en-US" w:eastAsia="zh-CN"/>
        </w:rPr>
        <w:t>办公终端</w:t>
      </w:r>
      <w:r>
        <w:rPr>
          <w:rFonts w:hint="eastAsia" w:ascii="宋体" w:hAnsi="宋体" w:eastAsia="宋体" w:cs="宋体"/>
          <w:bCs/>
          <w:spacing w:val="2"/>
          <w:sz w:val="24"/>
          <w:highlight w:val="none"/>
          <w:lang w:val="en-US" w:eastAsia="zh-CN"/>
        </w:rPr>
        <w:t>”</w:t>
      </w:r>
      <w:r>
        <w:rPr>
          <w:rFonts w:hint="eastAsia" w:ascii="宋体" w:hAnsi="宋体" w:cs="宋体"/>
          <w:bCs/>
          <w:spacing w:val="2"/>
          <w:sz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Cs/>
          <w:spacing w:val="2"/>
          <w:sz w:val="24"/>
          <w:highlight w:val="none"/>
          <w:lang w:val="en-US" w:eastAsia="zh-CN"/>
        </w:rPr>
        <w:t>“电脑”、“台式</w:t>
      </w:r>
      <w:r>
        <w:rPr>
          <w:rFonts w:hint="eastAsia" w:ascii="宋体" w:hAnsi="宋体" w:cs="宋体"/>
          <w:bCs/>
          <w:spacing w:val="2"/>
          <w:sz w:val="24"/>
          <w:highlight w:val="none"/>
          <w:lang w:val="en-US" w:eastAsia="zh-CN"/>
        </w:rPr>
        <w:t>机</w:t>
      </w:r>
      <w:r>
        <w:rPr>
          <w:rFonts w:hint="eastAsia" w:ascii="宋体" w:hAnsi="宋体" w:eastAsia="宋体" w:cs="宋体"/>
          <w:bCs/>
          <w:spacing w:val="2"/>
          <w:sz w:val="24"/>
          <w:highlight w:val="none"/>
          <w:lang w:val="en-US" w:eastAsia="zh-CN"/>
        </w:rPr>
        <w:t>”、“笔记本”</w:t>
      </w:r>
      <w:r>
        <w:rPr>
          <w:rFonts w:hint="eastAsia" w:ascii="宋体" w:hAnsi="宋体" w:cs="宋体"/>
          <w:bCs/>
          <w:spacing w:val="2"/>
          <w:sz w:val="24"/>
          <w:highlight w:val="none"/>
          <w:lang w:val="en-US" w:eastAsia="zh-CN"/>
        </w:rPr>
        <w:t>、“个人计算机”、“PC机”，“打印机”、手机、平板、耗材、硒鼓、墨盒</w:t>
      </w:r>
      <w:r>
        <w:rPr>
          <w:rFonts w:hint="eastAsia" w:ascii="宋体" w:hAnsi="宋体" w:eastAsia="宋体" w:cs="宋体"/>
          <w:bCs/>
          <w:spacing w:val="2"/>
          <w:sz w:val="24"/>
          <w:highlight w:val="none"/>
          <w:lang w:val="en-US" w:eastAsia="zh-CN"/>
        </w:rPr>
        <w:t>等关键词之一或同义词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；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③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交付证明材料必须包括付款发票，可同步提供订货单、验收单等，能清晰体现交付物信息和数量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；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④合同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需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包含封面、时间、内容、签字盖章等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或能体现前述内容的合同关键页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。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【提供案例合同复印件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、交付证明材料复印件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并加盖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生产厂商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公章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或合同专用章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】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）</w:t>
      </w:r>
    </w:p>
    <w:p w14:paraId="06CBEE5C">
      <w:pPr>
        <w:widowControl w:val="0"/>
        <w:ind w:firstLine="488" w:firstLineChars="200"/>
        <w:jc w:val="left"/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</w:rPr>
        <w:t>本项目投标产品的要求：</w:t>
      </w:r>
    </w:p>
    <w:p w14:paraId="0E0EE416">
      <w:pPr>
        <w:pStyle w:val="12"/>
        <w:widowControl w:val="0"/>
        <w:numPr>
          <w:ilvl w:val="-1"/>
          <w:numId w:val="0"/>
        </w:numPr>
        <w:spacing w:line="360" w:lineRule="auto"/>
        <w:ind w:leftChars="0" w:firstLine="488" w:firstLineChars="200"/>
        <w:jc w:val="left"/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投标产品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自2023年1月1日以来至少2个打印机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的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框架入围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或集中采购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案例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①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每个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案例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采购数量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500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台，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②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每个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案例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均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包含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国产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SoC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芯片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打印机，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③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同一机构的多个合同案例只按1个计算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。（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注：①以合同签订时间为准；②合同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内容需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体现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“框架”、“入围”、“选型”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、“集中采购”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等关键词之一或同义词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③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合同中需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包含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“打印机”、”打印设备”、“办公打印机”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等关键词之一或同义词；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④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交付证明材料必须包括付款发票，可同步提供订货单、验收单等，能清晰体现交付物信息和数量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⑤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合同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包含封面、时间、内容、签字盖章等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或能体现前述内容的合同关键页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【提供案例合同复印件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、交付证明材料复印件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并加盖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生产厂商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公章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或合同专用章</w:t>
      </w: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highlight w:val="none"/>
          <w:lang w:val="en-US"/>
        </w:rPr>
        <w:t>】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）</w:t>
      </w:r>
    </w:p>
    <w:p w14:paraId="6BD69227">
      <w:pPr>
        <w:pStyle w:val="12"/>
        <w:widowControl w:val="0"/>
        <w:spacing w:line="360" w:lineRule="auto"/>
        <w:ind w:firstLine="488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投标产品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自2023年1月1日以来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采购内容包含本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次招标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项目需求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的5类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产品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的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销售记录</w:t>
      </w:r>
      <w:r>
        <w:rPr>
          <w:rFonts w:hint="eastAsia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案例。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注：①以合同签订时间为准；②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合同中需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包含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“打印机”、”打印设备”、“办公打印机”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等关键词之一或同义词；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③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交付证明材料必须包括付款发票，可同步提供订货单、验收单等，能清晰体现交付物信息和数量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；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④合同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需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包含封面、时间、内容、签字盖章等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或能体现前述内容的合同关键页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。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【提供案例合同复印件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、交付证明材料复印件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并加盖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生产厂商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公章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或合同专用章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/>
        </w:rPr>
        <w:t>】</w:t>
      </w:r>
      <w:r>
        <w:rPr>
          <w:rFonts w:hint="eastAsia" w:cs="宋体"/>
          <w:bCs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）</w:t>
      </w:r>
    </w:p>
    <w:p w14:paraId="59D02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49" w:name="_Toc12210"/>
      <w:bookmarkStart w:id="50" w:name="_Toc6260"/>
      <w:bookmarkStart w:id="51" w:name="_Toc18330"/>
      <w:bookmarkStart w:id="52" w:name="_Toc5574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三、招标文件获取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5CC2B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凡有意参加投标者，请于20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日9:00至20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 xml:space="preserve">日17:00 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instrText xml:space="preserve"> HYPERLINK "mailto:(北京时间，下同)，发送电子邮件至jcb@jsnx.net，联系****获取电子招标文件。" </w:instrTex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(北京时间，下同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发送邮件至jcb@jsrcub.net，邮件标题及内容需包含：项目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编号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+项目名称+投标单位名称+联系人+电话+电子邮箱，待截止时间后3个工作日内由集采办统一发送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"/>
        </w:rPr>
        <w:t>采购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end"/>
      </w:r>
    </w:p>
    <w:p w14:paraId="0175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53" w:name="_Toc12902"/>
      <w:bookmarkStart w:id="54" w:name="_Toc16224"/>
      <w:bookmarkStart w:id="55" w:name="_Toc21494"/>
      <w:bookmarkStart w:id="56" w:name="_Toc3655"/>
      <w:bookmarkStart w:id="57" w:name="_Toc21475"/>
      <w:bookmarkStart w:id="58" w:name="_Toc12703"/>
      <w:bookmarkStart w:id="59" w:name="_Toc28022"/>
      <w:bookmarkStart w:id="60" w:name="_Toc16418"/>
      <w:bookmarkStart w:id="61" w:name="_Toc7851"/>
      <w:bookmarkStart w:id="62" w:name="_Toc26132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四、投标文件的</w:t>
      </w: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和开标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C6C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截止时间（即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"/>
        </w:rPr>
        <w:t>开标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时间）为：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分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（北京时间）。</w:t>
      </w:r>
    </w:p>
    <w:p w14:paraId="0F9A3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纸质投标文件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南京市建邺区江东中路395号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403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。</w:t>
      </w:r>
    </w:p>
    <w:p w14:paraId="2DB8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逾期送达的或未送达指定地点或不符合规定的投标文件，招标人不予受理。</w:t>
      </w:r>
    </w:p>
    <w:p w14:paraId="1941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63" w:name="_Toc30508"/>
      <w:bookmarkStart w:id="64" w:name="_Toc20519"/>
      <w:bookmarkStart w:id="65" w:name="_Toc30973"/>
      <w:bookmarkStart w:id="66" w:name="_Toc4347"/>
      <w:bookmarkStart w:id="67" w:name="_Toc228"/>
      <w:bookmarkStart w:id="68" w:name="_Toc16358"/>
      <w:bookmarkStart w:id="69" w:name="_Toc16225"/>
      <w:bookmarkStart w:id="70" w:name="_Toc6997"/>
      <w:bookmarkStart w:id="71" w:name="_Toc28042"/>
      <w:bookmarkStart w:id="72" w:name="_Toc18195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五、公告发布的媒介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4F7E9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bookmarkStart w:id="73" w:name="_Toc32345"/>
      <w:bookmarkStart w:id="74" w:name="_Toc24727"/>
      <w:bookmarkStart w:id="75" w:name="_Toc21640"/>
      <w:bookmarkStart w:id="76" w:name="_Toc30318"/>
      <w:bookmarkStart w:id="77" w:name="_Toc8284"/>
      <w:bookmarkStart w:id="78" w:name="_Toc2716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本项目在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官网（http://www.js96008.com）等渠道上发布。</w:t>
      </w:r>
    </w:p>
    <w:p w14:paraId="3D93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79" w:name="_Toc22315"/>
      <w:bookmarkStart w:id="80" w:name="_Toc26451"/>
      <w:bookmarkStart w:id="81" w:name="_Toc19225"/>
      <w:bookmarkStart w:id="82" w:name="_Toc7068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六、联系方式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9AE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招标人：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</w:p>
    <w:p w14:paraId="6F424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地址：南京市建邺区江东中路395号</w:t>
      </w:r>
    </w:p>
    <w:p w14:paraId="5DB3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业务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杨老师，18915987806</w:t>
      </w:r>
    </w:p>
    <w:p w14:paraId="4FF8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"/>
        </w:rPr>
      </w:pPr>
      <w:bookmarkStart w:id="83" w:name="_Toc7481"/>
      <w:bookmarkStart w:id="84" w:name="_Toc7579"/>
      <w:bookmarkStart w:id="85" w:name="_Toc1754"/>
      <w:bookmarkStart w:id="86" w:name="_Toc17922"/>
      <w:bookmarkStart w:id="87" w:name="_Toc20288"/>
      <w:bookmarkStart w:id="88" w:name="_Toc15031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商务联系人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薛老师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，025-86699301</w:t>
      </w:r>
    </w:p>
    <w:p w14:paraId="4EE0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89" w:name="_Toc21597"/>
      <w:bookmarkStart w:id="90" w:name="_Toc9898"/>
      <w:bookmarkStart w:id="91" w:name="_Toc24301"/>
      <w:bookmarkStart w:id="92" w:name="_Toc641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事项说明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7FAA8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1.如有任何疑问或问题，请在工作时间（周一至周五，9:00—12:00，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14: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00—17:00，节假日休息除外）与招标人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联系。</w:t>
      </w:r>
    </w:p>
    <w:p w14:paraId="3409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2.投标人应合理安排获取招标文件时间及投标时间。如因投标人自身原因耽误造成无法获取招标文件或无法投标，责任自负。</w:t>
      </w:r>
    </w:p>
    <w:p w14:paraId="29967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552DE"/>
    <w:multiLevelType w:val="singleLevel"/>
    <w:tmpl w:val="4C9552D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7069C"/>
    <w:rsid w:val="1E8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0"/>
    <w:pPr>
      <w:ind w:firstLine="200" w:firstLineChars="200"/>
    </w:pPr>
  </w:style>
  <w:style w:type="paragraph" w:customStyle="1" w:styleId="8">
    <w:name w:val="正文首行缩进 21"/>
    <w:basedOn w:val="9"/>
    <w:qFormat/>
    <w:uiPriority w:val="0"/>
  </w:style>
  <w:style w:type="paragraph" w:customStyle="1" w:styleId="9">
    <w:name w:val="正文文本缩进1"/>
    <w:basedOn w:val="1"/>
    <w:next w:val="10"/>
    <w:qFormat/>
    <w:uiPriority w:val="0"/>
    <w:pPr>
      <w:spacing w:line="500" w:lineRule="exact"/>
      <w:ind w:firstLine="200" w:firstLineChars="200"/>
    </w:pPr>
  </w:style>
  <w:style w:type="paragraph" w:customStyle="1" w:styleId="10">
    <w:name w:val="Body Text First Indent 21"/>
    <w:basedOn w:val="11"/>
    <w:qFormat/>
    <w:uiPriority w:val="0"/>
    <w:pPr>
      <w:widowControl/>
    </w:pPr>
    <w:rPr>
      <w:szCs w:val="20"/>
    </w:rPr>
  </w:style>
  <w:style w:type="paragraph" w:customStyle="1" w:styleId="11">
    <w:name w:val="Body Text Indent1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12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2026-07-21T02:48:00Z</dcterms:created>
  <dc:creator>邱乐善</dc:creator>
  <cp:lastModifiedBy>邱乐善</cp:lastModifiedBy>
  <dcterms:modified xsi:type="dcterms:W3CDTF">2026-07-21T02:51:18Z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07678BC912C84F878B5DC1DAF7203F87_11</vt:lpwstr>
  </property>
  <property fmtid="{D5CDD505-2E9C-101B-9397-08002B2CF9AE}" pid="4" name="KSOTemplateDocerSaveRecord">
    <vt:lpwstr>eyJoZGlkIjoiNjZiMzk1MDM3ZGRjMjk2OGVkMmRiMjY3OWFlNTlhYjUiLCJ1c2VySWQiOiIyMjE4MjEwMjMifQ==</vt:lpwstr>
  </property>
</Properties>
</file>